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53" w:rsidRPr="00432253" w:rsidRDefault="00824A83" w:rsidP="00432253">
      <w:pPr>
        <w:pStyle w:val="berschrift1"/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432253" w:rsidRPr="00432253">
        <w:rPr>
          <w:rFonts w:ascii="Arial" w:hAnsi="Arial" w:cs="Arial"/>
          <w:sz w:val="24"/>
          <w:szCs w:val="24"/>
        </w:rPr>
        <w:t>Teil B4 Detaillierte Regelungen für den Leistungsbereich</w:t>
      </w:r>
    </w:p>
    <w:p w:rsidR="00432253" w:rsidRPr="00432253" w:rsidRDefault="00432253" w:rsidP="00432253">
      <w:pPr>
        <w:pStyle w:val="berschrift1"/>
        <w:spacing w:before="0" w:line="240" w:lineRule="auto"/>
        <w:rPr>
          <w:rFonts w:ascii="Arial" w:hAnsi="Arial" w:cs="Arial"/>
          <w:sz w:val="24"/>
          <w:szCs w:val="24"/>
        </w:rPr>
      </w:pPr>
      <w:r w:rsidRPr="00432253">
        <w:rPr>
          <w:rFonts w:ascii="Arial" w:hAnsi="Arial" w:cs="Arial"/>
          <w:sz w:val="24"/>
          <w:szCs w:val="24"/>
        </w:rPr>
        <w:t>Technische Ausrüstung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für die Technische Anlage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824A8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Flutlichtanlage</w:t>
      </w:r>
    </w:p>
    <w:p w:rsidR="00432253" w:rsidRDefault="00432253" w:rsidP="0043225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des in Teil A §1 näher definierten Projekts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824A8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Errichtung einer Flutlichtanlage auf dem Sportplatz Neuhofen</w:t>
      </w:r>
    </w:p>
    <w:p w:rsidR="00432253" w:rsidRPr="00432253" w:rsidRDefault="00432253" w:rsidP="0043225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1.1 Gegenstand des Vertrags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sind Ingenieurleistungen der Anlagengruppe/n (gemäß § 53 HOAI):</w:t>
      </w:r>
    </w:p>
    <w:p w:rsidR="00432253" w:rsidRP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73165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Abwasser-, Wasser- und Gasanlagen</w:t>
      </w:r>
    </w:p>
    <w:p w:rsidR="00432253" w:rsidRP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60437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Wärmeversorgungsanlagen</w:t>
      </w:r>
    </w:p>
    <w:p w:rsidR="00432253" w:rsidRP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21938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Lufttechnische Anlagen</w:t>
      </w:r>
    </w:p>
    <w:p w:rsidR="00432253" w:rsidRP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686473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Starkstromanlagen</w:t>
      </w:r>
    </w:p>
    <w:p w:rsidR="00432253" w:rsidRP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71770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Fernmelde- und informationstechnische Anlagen</w:t>
      </w:r>
    </w:p>
    <w:p w:rsidR="00432253" w:rsidRP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0413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Förderanlagen</w:t>
      </w:r>
    </w:p>
    <w:p w:rsidR="00432253" w:rsidRDefault="00164FA4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37618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Nutzungsspezifische Anlagen und verfahrenstechnische Anlagen: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4316D"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Gebäudeautomation und Automation von Ingenieurbauwerken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1.2 Grundleistungen (§ 55 und Anlage 15.1 HOAI)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Der AG beauftragt den AN für die in Ziffer 1.1 angekreuzten Anlagegruppen mit den folgenden Leistungsphasen: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Pr="00432253" w:rsidRDefault="00041821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Von der HOAI</w:t>
      </w:r>
    </w:p>
    <w:p w:rsidR="00041821" w:rsidRPr="00432253" w:rsidRDefault="00041821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Bewertung</w:t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abweichende</w:t>
      </w:r>
    </w:p>
    <w:p w:rsidR="00041821" w:rsidRPr="00432253" w:rsidRDefault="00041821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gem. HOAI</w:t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Bewertung*</w:t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1948343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Grundlagenermittlung (Leistungsphase 1)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2 %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18512980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 xml:space="preserve">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Vorplanung (Leistungsphase 2)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9 %</w:t>
      </w:r>
      <w:r w:rsidR="00041821">
        <w:rPr>
          <w:rFonts w:ascii="Arial" w:hAnsi="Arial" w:cs="Arial"/>
          <w:sz w:val="20"/>
          <w:szCs w:val="20"/>
        </w:rPr>
        <w:tab/>
      </w:r>
      <w:r w:rsidR="00824A83">
        <w:rPr>
          <w:rFonts w:ascii="Arial" w:hAnsi="Arial" w:cs="Arial"/>
          <w:sz w:val="20"/>
          <w:szCs w:val="20"/>
        </w:rPr>
        <w:t>4,25%</w:t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-10665641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Entwurfsplanung (Leistungsphase 3)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17 %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76950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Genehmigungsplanung (Leistungsphase 4)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2 %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3780576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Ausführungsplanung (Leistungsphase 5)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22 %</w:t>
      </w:r>
      <w:r w:rsidR="00041821">
        <w:rPr>
          <w:rFonts w:ascii="Arial" w:hAnsi="Arial" w:cs="Arial"/>
          <w:sz w:val="20"/>
          <w:szCs w:val="20"/>
        </w:rPr>
        <w:tab/>
      </w:r>
      <w:r w:rsidR="00824A83">
        <w:rPr>
          <w:rFonts w:ascii="Arial" w:hAnsi="Arial" w:cs="Arial"/>
          <w:sz w:val="20"/>
          <w:szCs w:val="20"/>
        </w:rPr>
        <w:t>18%</w:t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19910108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Vorbereitung der Vergabe (Leistungsphase 6)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7 %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-17851086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Mitwirkung bei der Vergabe (Leistungsphase 7)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5 %</w:t>
      </w:r>
      <w:r w:rsidR="00041821">
        <w:rPr>
          <w:rFonts w:ascii="Arial" w:hAnsi="Arial" w:cs="Arial"/>
          <w:sz w:val="20"/>
          <w:szCs w:val="20"/>
        </w:rPr>
        <w:tab/>
      </w:r>
      <w:r w:rsidR="00824A83">
        <w:rPr>
          <w:rFonts w:ascii="Arial" w:hAnsi="Arial" w:cs="Arial"/>
          <w:sz w:val="20"/>
          <w:szCs w:val="20"/>
        </w:rPr>
        <w:t>4%</w:t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-83976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Objektüberwachung – Bauüberwachung (Leistungsphase 8)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35 %</w:t>
      </w:r>
      <w:r w:rsidR="00041821">
        <w:rPr>
          <w:rFonts w:ascii="Arial" w:hAnsi="Arial" w:cs="Arial"/>
          <w:sz w:val="20"/>
          <w:szCs w:val="20"/>
        </w:rPr>
        <w:tab/>
      </w:r>
      <w:r w:rsidR="00824A83">
        <w:rPr>
          <w:rFonts w:ascii="Arial" w:hAnsi="Arial" w:cs="Arial"/>
          <w:sz w:val="20"/>
          <w:szCs w:val="20"/>
        </w:rPr>
        <w:t>27%</w:t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1220479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Objektbetreuung und Dokumentation (Leistungsphase 9)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1 %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Abweichend hiervon werden für die nachfolgend genannten Anlagengruppen die folgenden Leistungsphasen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beauftragt bzw. die folgenden von der HOAI abweichenden Bewertungen vorgenommen: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041821" w:rsidP="00230270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432253" w:rsidRPr="00432253">
        <w:rPr>
          <w:rFonts w:ascii="Arial" w:hAnsi="Arial" w:cs="Arial"/>
          <w:sz w:val="20"/>
          <w:szCs w:val="20"/>
        </w:rPr>
        <w:t>Die von der HOAI abweichende Bewertung ergibt sich daraus, dass die folgenden Leistungen statt vom</w:t>
      </w:r>
      <w:r w:rsidR="00230270"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AN durch den AG oder den nachfolgend benannten weiteren Auftragnehmer eigenverantwortlich erbracht</w:t>
      </w:r>
      <w:r w:rsidR="00230270"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werden: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041821" w:rsidRDefault="00164FA4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31748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041821">
        <w:rPr>
          <w:rFonts w:ascii="Arial" w:hAnsi="Arial" w:cs="Arial"/>
          <w:sz w:val="20"/>
          <w:szCs w:val="20"/>
        </w:rPr>
        <w:t>Die Leistungsphase 5 wird gemäß § 55 Abs. 2 HOAI mit einem Abschlag von jeweils 4 % bewertet,</w:t>
      </w:r>
    </w:p>
    <w:p w:rsidR="00432253" w:rsidRPr="00432253" w:rsidRDefault="00714692" w:rsidP="00714692">
      <w:pPr>
        <w:tabs>
          <w:tab w:val="left" w:pos="426"/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weil</w:t>
      </w:r>
    </w:p>
    <w:p w:rsidR="00432253" w:rsidRP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909854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das Anfertigen von Schlitz- und Durchbruchsplänen nicht beauftragt wird.</w:t>
      </w:r>
    </w:p>
    <w:p w:rsid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6313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das Prüfen der Montage- und Werkstattpläne der ausführenden Firmen nicht beauftragt wird.</w:t>
      </w:r>
    </w:p>
    <w:p w:rsidR="00041821" w:rsidRPr="00432253" w:rsidRDefault="00041821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Statt dieser Leistung wird beauftragt:</w:t>
      </w:r>
    </w:p>
    <w:p w:rsidR="00432253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Bewertung</w:t>
      </w:r>
    </w:p>
    <w:p w:rsidR="00432253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gem. §</w:t>
      </w:r>
      <w:r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9 HOAI</w:t>
      </w:r>
    </w:p>
    <w:p w:rsid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163914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Vorplanung, Entwurfsplanung oder Objektüberwachung 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  <w:r w:rsidRPr="00432253">
        <w:rPr>
          <w:rFonts w:ascii="Arial" w:hAnsi="Arial" w:cs="Arial"/>
          <w:sz w:val="20"/>
          <w:szCs w:val="20"/>
        </w:rPr>
        <w:t>%</w:t>
      </w: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1.3 Besondere Leistungen (§ 55 und Anlage 15.1 HOAI)</w:t>
      </w:r>
    </w:p>
    <w:p w:rsidR="00432253" w:rsidRPr="00432253" w:rsidRDefault="00432253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  <w:t xml:space="preserve">           </w:t>
      </w:r>
      <w:r w:rsidR="00432253" w:rsidRPr="00432253">
        <w:rPr>
          <w:rFonts w:ascii="Arial" w:hAnsi="Arial" w:cs="Arial"/>
          <w:sz w:val="20"/>
          <w:szCs w:val="20"/>
        </w:rPr>
        <w:t>Honorarhöhe: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pauschal / als Stundensatz /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als Prozentsatz vom Honorar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für Leistungen gemäß § 1.1</w:t>
      </w:r>
    </w:p>
    <w:p w:rsidR="00432253" w:rsidRPr="00432253" w:rsidRDefault="00432253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-2010521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Bestandsaufnahme, zeichnerische Darstellung und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Nachrechnen vorhandener Anlagen und Anlagenteile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-559170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Erstellen und Fortschreiben des technischen Teils eines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Raumbuches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2024357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Erarbeiten von besonderen Daten für die Planung Dritter,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zum Beispiel für Stoffbilanzen, Gebäudeautomation etc.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459850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Detaillierte Betriebskostenberechnung für die ausgewählte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Anlage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15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398708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Detaillierter Wirtschaftlichkeitsnachweis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-111381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Aufstellen einer gewerkeübergreifenden Brandschutzmatrix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204841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Mitwirken bei einer vertieften Kostenberechnung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-896047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Prüfen und Anerkennen von Schalplänen des Tragwerksplaners</w:t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auf Übereinstimmung mit der Schlitz- und Durchbruchsplanung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19 </w:t>
      </w:r>
      <w:sdt>
        <w:sdtPr>
          <w:rPr>
            <w:rFonts w:ascii="Arial" w:hAnsi="Arial" w:cs="Arial"/>
            <w:sz w:val="20"/>
            <w:szCs w:val="20"/>
          </w:rPr>
          <w:id w:val="-2128840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Anfertigen von Plänen für Anschlüsse von beigestellten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Betriebsmitteln und Maschinen (Maschinenanschlussplanung)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mit besonderem Aufwand (zum Beispiel bei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Produktionseinrichtungen)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20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66396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Leerrohrplanung mit besonderem Aufwand (zum Beispiel bei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Sichtbeton oder Fertigteilen)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21 </w:t>
      </w:r>
      <w:sdt>
        <w:sdtPr>
          <w:rPr>
            <w:rFonts w:ascii="Arial" w:hAnsi="Arial" w:cs="Arial"/>
            <w:sz w:val="20"/>
            <w:szCs w:val="20"/>
          </w:rPr>
          <w:id w:val="1343663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Mitwirkung bei Detailplanungen mit besonderem Aufwand,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zum Beispiel Darstellung von Wandabwicklungen in hochinstallierten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Bereichen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22 </w:t>
      </w:r>
      <w:sdt>
        <w:sdtPr>
          <w:rPr>
            <w:rFonts w:ascii="Arial" w:hAnsi="Arial" w:cs="Arial"/>
            <w:sz w:val="20"/>
            <w:szCs w:val="20"/>
          </w:rPr>
          <w:id w:val="-2067560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Anfertigen von allpoligen Stromlaufplänen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23 </w:t>
      </w:r>
      <w:sdt>
        <w:sdtPr>
          <w:rPr>
            <w:rFonts w:ascii="Arial" w:hAnsi="Arial" w:cs="Arial"/>
            <w:sz w:val="20"/>
            <w:szCs w:val="20"/>
          </w:rPr>
          <w:id w:val="-171542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Prüfen und Werten von Nebenangeboten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24 </w:t>
      </w:r>
      <w:sdt>
        <w:sdtPr>
          <w:rPr>
            <w:rFonts w:ascii="Arial" w:hAnsi="Arial" w:cs="Arial"/>
            <w:sz w:val="20"/>
            <w:szCs w:val="20"/>
          </w:rPr>
          <w:id w:val="-898131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Mitwirken bei der Prüfung von bauwirtschaftlich begründeten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Angeboten (Claimabwehr)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25 </w:t>
      </w:r>
      <w:sdt>
        <w:sdtPr>
          <w:rPr>
            <w:rFonts w:ascii="Arial" w:hAnsi="Arial" w:cs="Arial"/>
            <w:sz w:val="20"/>
            <w:szCs w:val="20"/>
          </w:rPr>
          <w:id w:val="-1446539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Fortschreiben der Ausführungspläne (zum Beispiel Grundrisse,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Schnitte, Ansichten) bis zum Bestand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26 </w:t>
      </w:r>
      <w:sdt>
        <w:sdtPr>
          <w:rPr>
            <w:rFonts w:ascii="Arial" w:hAnsi="Arial" w:cs="Arial"/>
            <w:sz w:val="20"/>
            <w:szCs w:val="20"/>
          </w:rPr>
          <w:id w:val="584421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Erstellen von Rechnungsbelegen anstelle der ausführenden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Firmen, zum Beispiel Aufmaß, Schlussrechnung (Ersatzvornahme)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Besondere Leistungen: Honorarhöhe: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pauschal / als Stundensatz /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als Prozentsatz vom Honorar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Leistungen gemäß § 1.1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27 </w:t>
      </w:r>
      <w:sdt>
        <w:sdtPr>
          <w:rPr>
            <w:rFonts w:ascii="Arial" w:hAnsi="Arial" w:cs="Arial"/>
            <w:sz w:val="20"/>
            <w:szCs w:val="20"/>
          </w:rPr>
          <w:id w:val="1483584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Überwachen der Mängelbeseitigung innerhalb der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Verjährungsfrist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28 </w:t>
      </w:r>
      <w:sdt>
        <w:sdtPr>
          <w:rPr>
            <w:rFonts w:ascii="Arial" w:hAnsi="Arial" w:cs="Arial"/>
            <w:sz w:val="20"/>
            <w:szCs w:val="20"/>
          </w:rPr>
          <w:id w:val="-1726368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Erarbeiten von besonderen Daten für die Planung nach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Energieeinsparverordnung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29 </w:t>
      </w:r>
      <w:sdt>
        <w:sdtPr>
          <w:rPr>
            <w:rFonts w:ascii="Arial" w:hAnsi="Arial" w:cs="Arial"/>
            <w:sz w:val="20"/>
            <w:szCs w:val="20"/>
          </w:rPr>
          <w:id w:val="405810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Mitwirken bei Audits in Zertifizierungsprozessen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30 </w:t>
      </w:r>
      <w:sdt>
        <w:sdtPr>
          <w:rPr>
            <w:rFonts w:ascii="Arial" w:hAnsi="Arial" w:cs="Arial"/>
            <w:sz w:val="20"/>
            <w:szCs w:val="20"/>
          </w:rPr>
          <w:id w:val="1284388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Auditorenleistungen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31 </w:t>
      </w:r>
      <w:sdt>
        <w:sdtPr>
          <w:rPr>
            <w:rFonts w:ascii="Arial" w:hAnsi="Arial" w:cs="Arial"/>
            <w:sz w:val="20"/>
            <w:szCs w:val="20"/>
          </w:rPr>
          <w:id w:val="-343855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A4896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Energieberatung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32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481918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33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19596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lastRenderedPageBreak/>
        <w:t>§ 2 Stufenweise Beauftragung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1. Stufe: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Ordnungsnummern: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824A83">
        <w:rPr>
          <w:rFonts w:ascii="Arial" w:hAnsi="Arial" w:cs="Arial"/>
          <w:sz w:val="20"/>
          <w:szCs w:val="20"/>
        </w:rPr>
        <w:t>LPh -</w:t>
      </w:r>
      <w:r w:rsidR="00104CE9">
        <w:rPr>
          <w:shd w:val="clear" w:color="auto" w:fill="D9D9D9" w:themeFill="background1" w:themeFillShade="D9"/>
        </w:rPr>
        <w:tab/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2. Stufe: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Ordnungsnummern: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824A83">
        <w:rPr>
          <w:rFonts w:ascii="Arial" w:hAnsi="Arial" w:cs="Arial"/>
          <w:sz w:val="20"/>
          <w:szCs w:val="20"/>
        </w:rPr>
        <w:t>LPH 4-5</w:t>
      </w:r>
      <w:r w:rsidR="00104CE9">
        <w:rPr>
          <w:shd w:val="clear" w:color="auto" w:fill="D9D9D9" w:themeFill="background1" w:themeFillShade="D9"/>
        </w:rPr>
        <w:tab/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3. Stufe: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Ordnungsnummern: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824A83">
        <w:rPr>
          <w:rFonts w:ascii="Arial" w:hAnsi="Arial" w:cs="Arial"/>
          <w:sz w:val="20"/>
          <w:szCs w:val="20"/>
        </w:rPr>
        <w:t>LPH 6-8</w:t>
      </w:r>
      <w:r w:rsidR="00104CE9">
        <w:rPr>
          <w:shd w:val="clear" w:color="auto" w:fill="D9D9D9" w:themeFill="background1" w:themeFillShade="D9"/>
        </w:rPr>
        <w:tab/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3.1 Honorargrundlagen für Grundleistungen (§ 55 Abs. 3 i.V.m. Anlage 15.1 HOAI)</w:t>
      </w:r>
    </w:p>
    <w:p w:rsidR="00432253" w:rsidRP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369992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Honorarzone und Honorarsatz</w:t>
      </w:r>
      <w:r w:rsidR="00041821" w:rsidRPr="00041821">
        <w:rPr>
          <w:sz w:val="20"/>
          <w:szCs w:val="20"/>
        </w:rPr>
        <w:footnoteReference w:id="1"/>
      </w:r>
      <w:r w:rsidR="00432253" w:rsidRPr="00432253">
        <w:rPr>
          <w:rFonts w:ascii="Arial" w:hAnsi="Arial" w:cs="Arial"/>
          <w:sz w:val="20"/>
          <w:szCs w:val="20"/>
        </w:rPr>
        <w:t xml:space="preserve"> werden für alle Anlagengruppen wie folgt vereinbart:</w:t>
      </w:r>
    </w:p>
    <w:p w:rsidR="00432253" w:rsidRPr="00432253" w:rsidRDefault="00041821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Honorarzone (§ 56 Abs. 2, 3 HOAI):</w:t>
      </w:r>
    </w:p>
    <w:p w:rsidR="00432253" w:rsidRP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34115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als vorläufige Festlegung (bis zum Feststehen aller für den Schwierigkeitsgrad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maßgeblichen Bewertungsmerkmale)</w:t>
      </w:r>
    </w:p>
    <w:p w:rsid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900614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als abschließende Festlegung</w:t>
      </w:r>
    </w:p>
    <w:p w:rsidR="00041821" w:rsidRPr="00432253" w:rsidRDefault="00041821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104CE9">
      <w:pPr>
        <w:tabs>
          <w:tab w:val="left" w:pos="1701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Honorarsatz:</w:t>
      </w:r>
      <w:r w:rsidR="00E2387A">
        <w:rPr>
          <w:rStyle w:val="Funotenzeichen"/>
          <w:rFonts w:ascii="Arial" w:hAnsi="Arial" w:cs="Arial"/>
          <w:sz w:val="20"/>
          <w:szCs w:val="20"/>
        </w:rPr>
        <w:footnoteReference w:id="2"/>
      </w:r>
      <w:r w:rsidRPr="00432253">
        <w:rPr>
          <w:rFonts w:ascii="Arial" w:hAnsi="Arial" w:cs="Arial"/>
          <w:sz w:val="20"/>
          <w:szCs w:val="20"/>
        </w:rPr>
        <w:t xml:space="preserve"> </w:t>
      </w:r>
      <w:r w:rsidR="00104CE9">
        <w:rPr>
          <w:shd w:val="clear" w:color="auto" w:fill="D9D9D9" w:themeFill="background1" w:themeFillShade="D9"/>
        </w:rPr>
        <w:tab/>
      </w:r>
      <w:r w:rsidR="00824A83">
        <w:rPr>
          <w:shd w:val="clear" w:color="auto" w:fill="D9D9D9" w:themeFill="background1" w:themeFillShade="D9"/>
        </w:rPr>
        <w:t>II</w:t>
      </w:r>
      <w:r w:rsidR="00104CE9" w:rsidRPr="00432253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(§ 56 Abs. 1 HOAI)</w:t>
      </w:r>
    </w:p>
    <w:p w:rsidR="003A4896" w:rsidRPr="005E2EB8" w:rsidRDefault="00164FA4" w:rsidP="00104CE9">
      <w:pPr>
        <w:tabs>
          <w:tab w:val="left" w:pos="297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43963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A4896">
        <w:rPr>
          <w:rFonts w:ascii="Arial" w:hAnsi="Arial" w:cs="Arial"/>
          <w:sz w:val="20"/>
          <w:szCs w:val="20"/>
        </w:rPr>
        <w:t xml:space="preserve"> Zu- bzw. Abschlag in % </w:t>
      </w:r>
      <w:r w:rsidR="00104CE9">
        <w:rPr>
          <w:shd w:val="clear" w:color="auto" w:fill="D9D9D9" w:themeFill="background1" w:themeFillShade="D9"/>
        </w:rPr>
        <w:tab/>
      </w: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041821" w:rsidRDefault="00164FA4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82917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041821">
        <w:rPr>
          <w:rFonts w:ascii="Arial" w:hAnsi="Arial" w:cs="Arial"/>
          <w:sz w:val="20"/>
          <w:szCs w:val="20"/>
        </w:rPr>
        <w:t>Honorarzone und Honorarsatz werden für folgende Anlagengruppen differenziert festgelegt:</w:t>
      </w:r>
    </w:p>
    <w:p w:rsidR="00041821" w:rsidRPr="00432253" w:rsidRDefault="00041821" w:rsidP="00041821">
      <w:pPr>
        <w:keepNext/>
        <w:keepLines/>
        <w:tabs>
          <w:tab w:val="left" w:pos="1701"/>
          <w:tab w:val="left" w:pos="1985"/>
          <w:tab w:val="left" w:pos="3969"/>
          <w:tab w:val="left" w:pos="6663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Honorarzone</w:t>
      </w:r>
      <w:r w:rsidRPr="000418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Honorarzone</w:t>
      </w:r>
    </w:p>
    <w:p w:rsidR="00041821" w:rsidRPr="00432253" w:rsidRDefault="00432253" w:rsidP="00041821">
      <w:pPr>
        <w:keepNext/>
        <w:keepLines/>
        <w:tabs>
          <w:tab w:val="left" w:pos="1701"/>
          <w:tab w:val="left" w:pos="1985"/>
          <w:tab w:val="left" w:pos="3969"/>
          <w:tab w:val="left" w:pos="6663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Anlagengruppe</w:t>
      </w:r>
      <w:r w:rsidR="00041821">
        <w:rPr>
          <w:rFonts w:ascii="Arial" w:hAnsi="Arial" w:cs="Arial"/>
          <w:sz w:val="20"/>
          <w:szCs w:val="20"/>
        </w:rPr>
        <w:tab/>
      </w:r>
      <w:r w:rsidR="00041821" w:rsidRPr="00432253">
        <w:rPr>
          <w:rFonts w:ascii="Arial" w:hAnsi="Arial" w:cs="Arial"/>
          <w:sz w:val="20"/>
          <w:szCs w:val="20"/>
        </w:rPr>
        <w:t>(abschließend)</w:t>
      </w:r>
      <w:r w:rsidR="00041821">
        <w:rPr>
          <w:rFonts w:ascii="Arial" w:hAnsi="Arial" w:cs="Arial"/>
          <w:sz w:val="20"/>
          <w:szCs w:val="20"/>
        </w:rPr>
        <w:tab/>
        <w:t xml:space="preserve">     </w:t>
      </w:r>
      <w:r w:rsidR="00041821" w:rsidRPr="00432253">
        <w:rPr>
          <w:rFonts w:ascii="Arial" w:hAnsi="Arial" w:cs="Arial"/>
          <w:sz w:val="20"/>
          <w:szCs w:val="20"/>
        </w:rPr>
        <w:t>(vorläufig)</w:t>
      </w:r>
      <w:r w:rsidR="00041821">
        <w:rPr>
          <w:rFonts w:ascii="Arial" w:hAnsi="Arial" w:cs="Arial"/>
          <w:sz w:val="20"/>
          <w:szCs w:val="20"/>
        </w:rPr>
        <w:tab/>
        <w:t>Honorarsatz</w:t>
      </w:r>
    </w:p>
    <w:p w:rsidR="00432253" w:rsidRDefault="00432253" w:rsidP="004A3EA4">
      <w:pPr>
        <w:tabs>
          <w:tab w:val="left" w:pos="1701"/>
          <w:tab w:val="left" w:pos="1985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Default="00041821" w:rsidP="004A3E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Pr="00432253" w:rsidRDefault="00041821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Die Ermittlung der anrechenbaren Kosten erfolgt gemäß § 54 HOAI.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Zuschlag für Umbau/Modernisierung: </w:t>
      </w:r>
      <w:r w:rsidR="00041821">
        <w:rPr>
          <w:rFonts w:ascii="Arial" w:hAnsi="Arial" w:cs="Arial"/>
          <w:sz w:val="20"/>
          <w:szCs w:val="20"/>
        </w:rPr>
        <w:t>__________</w:t>
      </w:r>
      <w:r w:rsidR="00824A83">
        <w:rPr>
          <w:rFonts w:ascii="Arial" w:hAnsi="Arial" w:cs="Arial"/>
          <w:sz w:val="20"/>
          <w:szCs w:val="20"/>
        </w:rPr>
        <w:t>0</w:t>
      </w:r>
      <w:r w:rsidR="00041821">
        <w:rPr>
          <w:rFonts w:ascii="Arial" w:hAnsi="Arial" w:cs="Arial"/>
          <w:sz w:val="20"/>
          <w:szCs w:val="20"/>
        </w:rPr>
        <w:t>_</w:t>
      </w:r>
      <w:r w:rsidRPr="00432253">
        <w:rPr>
          <w:rFonts w:ascii="Arial" w:hAnsi="Arial" w:cs="Arial"/>
          <w:sz w:val="20"/>
          <w:szCs w:val="20"/>
        </w:rPr>
        <w:t>% (§ 56 Abs. 5 HOAI)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Unabhängig vom Umbauzuschlag sind anrechenbare Kosten aus vorhandener Bausubstanz gemäß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§4 Abs. 3 HOAI angemessen zu berücksichtigen. Diese werden</w:t>
      </w:r>
    </w:p>
    <w:p w:rsidR="00432253" w:rsidRP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26813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A8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 xml:space="preserve">mit </w:t>
      </w:r>
      <w:r w:rsidR="004A3EA4">
        <w:rPr>
          <w:shd w:val="clear" w:color="auto" w:fill="D9D9D9" w:themeFill="background1" w:themeFillShade="D9"/>
        </w:rPr>
        <w:tab/>
      </w:r>
      <w:r w:rsidR="00824A83">
        <w:rPr>
          <w:shd w:val="clear" w:color="auto" w:fill="D9D9D9" w:themeFill="background1" w:themeFillShade="D9"/>
        </w:rPr>
        <w:t>0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041821" w:rsidRPr="00432253">
        <w:rPr>
          <w:rFonts w:ascii="Arial" w:hAnsi="Arial" w:cs="Arial"/>
          <w:sz w:val="20"/>
          <w:szCs w:val="20"/>
        </w:rPr>
        <w:t>€</w:t>
      </w:r>
      <w:r w:rsidR="00432253" w:rsidRPr="00432253">
        <w:rPr>
          <w:rFonts w:ascii="Arial" w:hAnsi="Arial" w:cs="Arial"/>
          <w:sz w:val="20"/>
          <w:szCs w:val="20"/>
        </w:rPr>
        <w:t xml:space="preserve"> festgelegt.</w:t>
      </w:r>
    </w:p>
    <w:p w:rsidR="00432253" w:rsidRPr="00432253" w:rsidRDefault="00164FA4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49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noch einvernehmlich festgelegt.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 xml:space="preserve">Der Prozentsatz für die Bauüberwachung wird gemäß §12 Abs. 2 HOAI um </w:t>
      </w:r>
      <w:r w:rsidR="004A3EA4">
        <w:rPr>
          <w:shd w:val="clear" w:color="auto" w:fill="D9D9D9" w:themeFill="background1" w:themeFillShade="D9"/>
        </w:rPr>
        <w:tab/>
      </w:r>
      <w:r w:rsidR="00824A83">
        <w:rPr>
          <w:shd w:val="clear" w:color="auto" w:fill="D9D9D9" w:themeFill="background1" w:themeFillShade="D9"/>
        </w:rPr>
        <w:t>0</w:t>
      </w:r>
      <w:r w:rsidR="004A3EA4">
        <w:rPr>
          <w:shd w:val="clear" w:color="auto" w:fill="D9D9D9" w:themeFill="background1" w:themeFillShade="D9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% erhöht.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Bei Ingenieurbauwerken mit großer Längenausdehnung können Abschläge vereinbart werden. Das dazu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erforderliche Missverhältnis zwischen Aufwand und Honorar wird wie folgt begründet: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A3E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Nebenkosten: siehe Teil A § 4.4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die bereits beauftragten Besonderen Leistungen ist die Honorarhöhe in § 1.4 festgelegt.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Besondere Leistungen, die nachträglich beauftragt werden, werden AG und AN vor deren Beauftragung</w:t>
      </w:r>
      <w:r w:rsidR="004A3EA4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eine gesonderte Vergütungsvereinbarung als Pauschale, als Stundensatz oder als Prozentsatz vom</w:t>
      </w:r>
      <w:r w:rsidR="004A3EA4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Honorar für Leistungen gemäß §1.1 treffen.</w:t>
      </w:r>
    </w:p>
    <w:p w:rsidR="00B71D9E" w:rsidRPr="00432253" w:rsidRDefault="00B71D9E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6579B9">
      <w:pPr>
        <w:keepNext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3.3 Vergütung bei anrechenbaren Kosten außerhalb der Tafelwerte des § 56 Abs. 1 HOAI</w:t>
      </w:r>
    </w:p>
    <w:p w:rsidR="00432253" w:rsidRPr="00B71D9E" w:rsidRDefault="00432253" w:rsidP="006579B9">
      <w:pPr>
        <w:pStyle w:val="Listenabsatz"/>
        <w:keepNext/>
        <w:numPr>
          <w:ilvl w:val="0"/>
          <w:numId w:val="4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Da die anrechenbaren Kosten des Objekts außerhalb der Tafelwerte</w:t>
      </w:r>
      <w:r w:rsidR="00B71D9E" w:rsidRPr="00B71D9E">
        <w:rPr>
          <w:rStyle w:val="Funotenzeichen"/>
          <w:rFonts w:ascii="Arial" w:hAnsi="Arial" w:cs="Arial"/>
          <w:b/>
          <w:sz w:val="24"/>
          <w:szCs w:val="20"/>
        </w:rPr>
        <w:footnoteReference w:id="3"/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liegen, vereinbaren AG und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AN die Honorarhöhe wie folgt:</w:t>
      </w:r>
    </w:p>
    <w:p w:rsidR="00432253" w:rsidRPr="00B71D9E" w:rsidRDefault="00432253" w:rsidP="00432253">
      <w:pPr>
        <w:pStyle w:val="Listenabsatz"/>
        <w:numPr>
          <w:ilvl w:val="0"/>
          <w:numId w:val="6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Das Honorar bestimmt sich nach den in diesem Vertrag (insbesondere Teil B4 § 3.1 für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Grundleistungen, § 1.3 für Besondere Leistungen und Teil A § 4.4) getroffenen Vereinbarungen.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Es ergibt sich aus der Fortschreibung der Honorartafel des § 55 HOAI durch die Richtlinien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der Staatlichen Vermögens- und Hochbauverwaltung Baden-Württemberg für die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Beteiligung freiberuflich Tätiger (RifT) gemäß Anlage B4.1.</w:t>
      </w:r>
    </w:p>
    <w:p w:rsidR="00432253" w:rsidRPr="00B71D9E" w:rsidRDefault="00432253" w:rsidP="00432253">
      <w:pPr>
        <w:pStyle w:val="Listenabsatz"/>
        <w:numPr>
          <w:ilvl w:val="0"/>
          <w:numId w:val="6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Die Honorarhöhe wird (ggf. ergänzend zu in diesem Vertrag bereits getroffenen Vereinbarungen)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wie folgt vereinbart:</w:t>
      </w:r>
    </w:p>
    <w:p w:rsidR="00432253" w:rsidRPr="00B71D9E" w:rsidRDefault="00432253" w:rsidP="00B71D9E">
      <w:pPr>
        <w:pStyle w:val="Listenabsatz"/>
        <w:numPr>
          <w:ilvl w:val="0"/>
          <w:numId w:val="4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 xml:space="preserve">Falls </w:t>
      </w:r>
      <w:r w:rsidR="00B71D9E" w:rsidRPr="00B71D9E">
        <w:rPr>
          <w:rFonts w:ascii="Arial" w:hAnsi="Arial" w:cs="Arial"/>
          <w:sz w:val="20"/>
          <w:szCs w:val="20"/>
        </w:rPr>
        <w:t>die Parteien in 3.1. ein Berechnungshonorar auf Basis der</w:t>
      </w:r>
      <w:r w:rsidRPr="00B71D9E">
        <w:rPr>
          <w:rFonts w:ascii="Arial" w:hAnsi="Arial" w:cs="Arial"/>
          <w:sz w:val="20"/>
          <w:szCs w:val="20"/>
        </w:rPr>
        <w:t xml:space="preserve"> anrechenbaren Kosten des Objekts </w:t>
      </w:r>
      <w:r w:rsidR="00B71D9E" w:rsidRPr="00B71D9E">
        <w:rPr>
          <w:rFonts w:ascii="Arial" w:hAnsi="Arial" w:cs="Arial"/>
          <w:sz w:val="20"/>
          <w:szCs w:val="20"/>
        </w:rPr>
        <w:t xml:space="preserve">orientiert an den in § 56 Abs. 1 HOAI genannten Tafelwerten vereinbart haben und überschreiten die anrechenbaren Kosten die dort berechneten Tafelwerte, </w:t>
      </w:r>
      <w:r w:rsidRPr="00B71D9E">
        <w:rPr>
          <w:rFonts w:ascii="Arial" w:hAnsi="Arial" w:cs="Arial"/>
          <w:sz w:val="20"/>
          <w:szCs w:val="20"/>
        </w:rPr>
        <w:t>vereinbaren AG und AN bereits jetzt die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Weitergeltung der Honorarparameter bzw. Vereinbarungen dieses Vertrags und die Fortschreibung der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anrechenbaren Kosten durch</w:t>
      </w:r>
    </w:p>
    <w:p w:rsidR="00432253" w:rsidRPr="00B71D9E" w:rsidRDefault="00432253" w:rsidP="00B71D9E">
      <w:pPr>
        <w:pStyle w:val="Listenabsatz"/>
        <w:numPr>
          <w:ilvl w:val="0"/>
          <w:numId w:val="7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die erweiterte Honorartafel nach den Richtlinien der Staatlichen Vermögens- und Hochbauverwaltung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Baden-Württemberg für die Beteiligung freiberuflich Tätiger (RifT) gemäß Anlage B4.1.</w:t>
      </w:r>
    </w:p>
    <w:p w:rsidR="00432253" w:rsidRDefault="00432253" w:rsidP="00B71D9E">
      <w:pPr>
        <w:pStyle w:val="Listenabsatz"/>
        <w:numPr>
          <w:ilvl w:val="0"/>
          <w:numId w:val="7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Die Fortschreibung der anrechenbaren Kosten gemäß folgender Festlegung:</w:t>
      </w:r>
    </w:p>
    <w:p w:rsidR="00B71D9E" w:rsidRPr="00432253" w:rsidRDefault="00B71D9E" w:rsidP="00B71D9E">
      <w:pPr>
        <w:pStyle w:val="Listenabsatz"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A3EA4">
      <w:pPr>
        <w:keepNext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3.4 Fortschreibung der Kostenberechnung, Honorarzone bei Änderungen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Bei Änderungen oder Erweiterungen des Bauobjektes bzw. der Planungsvorgaben ist die Kostenberechnung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 xml:space="preserve">für die Honorarermittlung </w:t>
      </w:r>
      <w:r w:rsidR="00B71D9E">
        <w:rPr>
          <w:rFonts w:ascii="Arial" w:hAnsi="Arial" w:cs="Arial"/>
          <w:sz w:val="20"/>
          <w:szCs w:val="20"/>
        </w:rPr>
        <w:t xml:space="preserve">falls die Parteien die Kostenberechnung als Grundlage der Honorarermittlung vereinbart haben, </w:t>
      </w:r>
      <w:r w:rsidRPr="00432253">
        <w:rPr>
          <w:rFonts w:ascii="Arial" w:hAnsi="Arial" w:cs="Arial"/>
          <w:sz w:val="20"/>
          <w:szCs w:val="20"/>
        </w:rPr>
        <w:t>entsprechend fortzuschreiben. Der AG verpflichtet sich, den AN über der</w:t>
      </w:r>
      <w:r w:rsidRPr="00432253">
        <w:rPr>
          <w:rFonts w:ascii="Arial" w:hAnsi="Arial" w:cs="Arial"/>
          <w:sz w:val="20"/>
          <w:szCs w:val="20"/>
        </w:rPr>
        <w:lastRenderedPageBreak/>
        <w:t>artige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Umstände zu informieren und dem AN auf Verlangen die maßgeblichen Unterlagen bzw. Nachweise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bezüglich der fortgeschriebenen Kostenberechnung oder die fortgeschriebene Kostenberechnung zukommen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zu lassen.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Honorarzone.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§ 10 HOAI bleibt unberührt.</w:t>
      </w:r>
    </w:p>
    <w:p w:rsidR="00B71D9E" w:rsidRPr="00432253" w:rsidRDefault="00B71D9E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3.5 Planung auf Basis vorläufiger statt abgeschlossener Planungen des Objektplaners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Der AN erbringt seine Planungsleistungen grundsätzlich auf Basis abgeschlossener Planungen des Objektplaners.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Soweit dem AN aufgegeben wird, auf der Basis vorläufiger Pläne zu arbeiten, oder soweit Pläne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geändert werden, kann sich das Honorar entsprechend erhöhen (vgl. auch § 4.2 des Teiles A). Der AN ist in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diesem Fall berechtigt, den zusätzlichen Aufwand nach den vereinbarten Stundensätzen (Teil A, § 4.3)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abzurechnen.</w:t>
      </w:r>
    </w:p>
    <w:p w:rsidR="00B71D9E" w:rsidRPr="00432253" w:rsidRDefault="00B71D9E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432253" w:rsidRPr="00432253" w:rsidRDefault="0043225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714692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sind:</w:t>
      </w:r>
    </w:p>
    <w:p w:rsidR="00432253" w:rsidRDefault="0043225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Bereits vorliegende Unterlagen:</w:t>
      </w:r>
    </w:p>
    <w:p w:rsidR="00B71D9E" w:rsidRDefault="00824A8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>keine</w:t>
      </w:r>
      <w:r w:rsidR="00714692">
        <w:rPr>
          <w:shd w:val="clear" w:color="auto" w:fill="D9D9D9" w:themeFill="background1" w:themeFillShade="D9"/>
        </w:rPr>
        <w:tab/>
      </w:r>
    </w:p>
    <w:p w:rsidR="00B71D9E" w:rsidRPr="00432253" w:rsidRDefault="00B71D9E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Noch nicht vorliegende Unterlagen:</w:t>
      </w:r>
    </w:p>
    <w:p w:rsidR="00B71D9E" w:rsidRDefault="00824A83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>Bestandsvermessung (ist beauftragt)</w:t>
      </w:r>
      <w:r w:rsidR="00714692">
        <w:rPr>
          <w:shd w:val="clear" w:color="auto" w:fill="D9D9D9" w:themeFill="background1" w:themeFillShade="D9"/>
        </w:rPr>
        <w:tab/>
      </w:r>
    </w:p>
    <w:p w:rsidR="00B71D9E" w:rsidRDefault="00B71D9E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71D9E" w:rsidRPr="00432253" w:rsidRDefault="00B71D9E" w:rsidP="004A3E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§5 Sonstige Vereinbarungen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AG und AN treffen folgende weitere Vereinbarungen:</w:t>
      </w:r>
    </w:p>
    <w:p w:rsidR="004C55F3" w:rsidRDefault="00824A8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keine</w:t>
      </w:r>
      <w:r w:rsidR="00714692">
        <w:rPr>
          <w:shd w:val="clear" w:color="auto" w:fill="D9D9D9" w:themeFill="background1" w:themeFillShade="D9"/>
        </w:rPr>
        <w:tab/>
      </w: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55F3" w:rsidRDefault="00824A8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Speyer, den 13.03.2023</w:t>
      </w:r>
    </w:p>
    <w:p w:rsidR="00432253" w:rsidRPr="00432253" w:rsidRDefault="00432253" w:rsidP="004C55F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Ort, Datum </w:t>
      </w:r>
      <w:r w:rsidR="004C55F3">
        <w:rPr>
          <w:rFonts w:ascii="Arial" w:hAnsi="Arial" w:cs="Arial"/>
          <w:sz w:val="20"/>
          <w:szCs w:val="20"/>
        </w:rPr>
        <w:tab/>
      </w:r>
      <w:r w:rsidR="004C55F3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Ort, Datum</w:t>
      </w:r>
    </w:p>
    <w:p w:rsidR="004C55F3" w:rsidRDefault="004C55F3" w:rsidP="004C55F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55F3" w:rsidRDefault="004C55F3" w:rsidP="004C55F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55F3" w:rsidRDefault="00824A83" w:rsidP="004C55F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Neuhofen, den 13.03.2023</w:t>
      </w:r>
      <w:bookmarkStart w:id="0" w:name="_GoBack"/>
      <w:bookmarkEnd w:id="0"/>
    </w:p>
    <w:p w:rsidR="00055607" w:rsidRPr="00432253" w:rsidRDefault="00432253" w:rsidP="004C55F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für den AG </w:t>
      </w:r>
      <w:r w:rsidR="004C55F3">
        <w:rPr>
          <w:rFonts w:ascii="Arial" w:hAnsi="Arial" w:cs="Arial"/>
          <w:sz w:val="20"/>
          <w:szCs w:val="20"/>
        </w:rPr>
        <w:tab/>
      </w:r>
      <w:r w:rsidR="004C55F3">
        <w:rPr>
          <w:rFonts w:ascii="Arial" w:hAnsi="Arial" w:cs="Arial"/>
          <w:sz w:val="20"/>
          <w:szCs w:val="20"/>
        </w:rPr>
        <w:tab/>
        <w:t>f</w:t>
      </w:r>
      <w:r w:rsidRPr="00432253">
        <w:rPr>
          <w:rFonts w:ascii="Arial" w:hAnsi="Arial" w:cs="Arial"/>
          <w:sz w:val="20"/>
          <w:szCs w:val="20"/>
        </w:rPr>
        <w:t>ür den AN</w:t>
      </w:r>
    </w:p>
    <w:sectPr w:rsidR="00055607" w:rsidRPr="004322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1BB" w:rsidRDefault="000D01BB" w:rsidP="00041821">
      <w:pPr>
        <w:spacing w:after="0" w:line="240" w:lineRule="auto"/>
      </w:pPr>
      <w:r>
        <w:separator/>
      </w:r>
    </w:p>
  </w:endnote>
  <w:endnote w:type="continuationSeparator" w:id="0">
    <w:p w:rsidR="000D01BB" w:rsidRDefault="000D01BB" w:rsidP="0004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1BB" w:rsidRDefault="000D01BB" w:rsidP="00041821">
      <w:pPr>
        <w:spacing w:after="0" w:line="240" w:lineRule="auto"/>
      </w:pPr>
      <w:r>
        <w:separator/>
      </w:r>
    </w:p>
  </w:footnote>
  <w:footnote w:type="continuationSeparator" w:id="0">
    <w:p w:rsidR="000D01BB" w:rsidRDefault="000D01BB" w:rsidP="00041821">
      <w:pPr>
        <w:spacing w:after="0" w:line="240" w:lineRule="auto"/>
      </w:pPr>
      <w:r>
        <w:continuationSeparator/>
      </w:r>
    </w:p>
  </w:footnote>
  <w:footnote w:id="1">
    <w:p w:rsidR="00041821" w:rsidRDefault="0004182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17263E">
        <w:rPr>
          <w:rFonts w:ascii="Arial" w:hAnsi="Arial" w:cs="Arial"/>
          <w:sz w:val="18"/>
          <w:szCs w:val="18"/>
        </w:rPr>
        <w:t xml:space="preserve">Die Vereinbarung einer Honorarzone </w:t>
      </w:r>
      <w:r>
        <w:rPr>
          <w:rFonts w:ascii="Arial" w:hAnsi="Arial" w:cs="Arial"/>
          <w:sz w:val="18"/>
          <w:szCs w:val="18"/>
        </w:rPr>
        <w:t xml:space="preserve">und eines Honorarsatzes </w:t>
      </w:r>
      <w:r w:rsidRPr="0017263E">
        <w:rPr>
          <w:rFonts w:ascii="Arial" w:hAnsi="Arial" w:cs="Arial"/>
          <w:sz w:val="18"/>
          <w:szCs w:val="18"/>
        </w:rPr>
        <w:t xml:space="preserve">ist nur erforderlich, wenn die Parteien ein Berechnungshonorar </w:t>
      </w:r>
      <w:r>
        <w:rPr>
          <w:rFonts w:ascii="Arial" w:hAnsi="Arial" w:cs="Arial"/>
          <w:sz w:val="18"/>
          <w:szCs w:val="18"/>
        </w:rPr>
        <w:t>nach den Regelungen der HOAI vereinbaren.</w:t>
      </w:r>
    </w:p>
  </w:footnote>
  <w:footnote w:id="2">
    <w:p w:rsidR="00E2387A" w:rsidRDefault="00E2387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513ADD">
        <w:rPr>
          <w:rFonts w:ascii="Arial" w:hAnsi="Arial" w:cs="Arial"/>
          <w:sz w:val="18"/>
          <w:szCs w:val="18"/>
        </w:rPr>
        <w:t xml:space="preserve">Es besteht keine Bindung </w:t>
      </w:r>
      <w:r>
        <w:rPr>
          <w:rFonts w:ascii="Arial" w:hAnsi="Arial" w:cs="Arial"/>
          <w:sz w:val="18"/>
          <w:szCs w:val="18"/>
        </w:rPr>
        <w:t>an § 7 Abs. 1 HOAI (Mindest- und Höchstsätze) in der derzeit gültigen Fassung. Das Honorar kann grundsätzlich frei vereinbart werden. Wird das Honorar als Berechnungshonorar unter Bezugnahme auf die Honorarsätze des § 48 Abs. 1 HOAI vereinbart, können Zu- bzw. Abschläge auf die Honorarsätze vereinbart werden, die für die Berechnung des Honorars maßgeblich sind.</w:t>
      </w:r>
    </w:p>
  </w:footnote>
  <w:footnote w:id="3">
    <w:p w:rsidR="00B71D9E" w:rsidRDefault="00B71D9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71D9E">
        <w:rPr>
          <w:rFonts w:ascii="Arial" w:hAnsi="Arial" w:cs="Arial"/>
          <w:sz w:val="18"/>
          <w:szCs w:val="18"/>
        </w:rPr>
        <w:t>Die Tafelwerte der HOAI als Bezugsgröße für ein Berechnungshonorar sind gesetzlich nicht bindend und können abweichend vereinbart werden.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6F1"/>
    <w:multiLevelType w:val="hybridMultilevel"/>
    <w:tmpl w:val="4A261B2E"/>
    <w:lvl w:ilvl="0" w:tplc="6C3CAFE4">
      <w:start w:val="1"/>
      <w:numFmt w:val="lowerLetter"/>
      <w:lvlText w:val="a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33E38"/>
    <w:multiLevelType w:val="hybridMultilevel"/>
    <w:tmpl w:val="47F0209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A2953"/>
    <w:multiLevelType w:val="hybridMultilevel"/>
    <w:tmpl w:val="2EACE89C"/>
    <w:lvl w:ilvl="0" w:tplc="69E609AA">
      <w:start w:val="2"/>
      <w:numFmt w:val="lowerLetter"/>
      <w:lvlText w:val="b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E4AB0"/>
    <w:multiLevelType w:val="hybridMultilevel"/>
    <w:tmpl w:val="92AC7D1E"/>
    <w:lvl w:ilvl="0" w:tplc="F8C4303A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591134"/>
    <w:multiLevelType w:val="hybridMultilevel"/>
    <w:tmpl w:val="4B964B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51160"/>
    <w:multiLevelType w:val="hybridMultilevel"/>
    <w:tmpl w:val="F10E576E"/>
    <w:lvl w:ilvl="0" w:tplc="C1485D84">
      <w:start w:val="9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26C62"/>
    <w:multiLevelType w:val="hybridMultilevel"/>
    <w:tmpl w:val="253A8EA4"/>
    <w:lvl w:ilvl="0" w:tplc="EEE2DDF2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4 Detaillierte Regelungen für den Leistungsbereich Technische Ausrüstung"/>
    <w:docVar w:name="DDNr" w:val="D18/D357-20"/>
    <w:docVar w:name="DDNummerPH" w:val="fehlt"/>
    <w:docVar w:name="EAStatus" w:val="0"/>
    <w:docVar w:name="RADKS" w:val="#;$a;@"/>
    <w:docVar w:name="Rubrik" w:val="solleer"/>
    <w:docVar w:name="Schlagwort" w:val="solleer"/>
  </w:docVars>
  <w:rsids>
    <w:rsidRoot w:val="00432253"/>
    <w:rsid w:val="0001306D"/>
    <w:rsid w:val="00023C3A"/>
    <w:rsid w:val="00025C03"/>
    <w:rsid w:val="00027BD8"/>
    <w:rsid w:val="00033874"/>
    <w:rsid w:val="00033EDF"/>
    <w:rsid w:val="00036148"/>
    <w:rsid w:val="00041821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01BB"/>
    <w:rsid w:val="000D6482"/>
    <w:rsid w:val="000F2F41"/>
    <w:rsid w:val="000F5268"/>
    <w:rsid w:val="00104CE9"/>
    <w:rsid w:val="0011378A"/>
    <w:rsid w:val="00114E89"/>
    <w:rsid w:val="00140C0D"/>
    <w:rsid w:val="0014118C"/>
    <w:rsid w:val="0014355B"/>
    <w:rsid w:val="00155210"/>
    <w:rsid w:val="001576A5"/>
    <w:rsid w:val="00164FA4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30270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3772"/>
    <w:rsid w:val="002C7835"/>
    <w:rsid w:val="002D22F9"/>
    <w:rsid w:val="002E2601"/>
    <w:rsid w:val="002F092B"/>
    <w:rsid w:val="00300968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631A"/>
    <w:rsid w:val="0038265C"/>
    <w:rsid w:val="00386F81"/>
    <w:rsid w:val="0039067B"/>
    <w:rsid w:val="003A10D4"/>
    <w:rsid w:val="003A2144"/>
    <w:rsid w:val="003A4896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7CD7"/>
    <w:rsid w:val="00421100"/>
    <w:rsid w:val="0042218F"/>
    <w:rsid w:val="004250AC"/>
    <w:rsid w:val="0042775A"/>
    <w:rsid w:val="00432253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7E9D"/>
    <w:rsid w:val="004949B0"/>
    <w:rsid w:val="004A3EA4"/>
    <w:rsid w:val="004B1BDE"/>
    <w:rsid w:val="004B4E1B"/>
    <w:rsid w:val="004B537F"/>
    <w:rsid w:val="004C55F3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24802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1425"/>
    <w:rsid w:val="005C2B15"/>
    <w:rsid w:val="005C3528"/>
    <w:rsid w:val="005C769D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579B9"/>
    <w:rsid w:val="006636E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14692"/>
    <w:rsid w:val="00724499"/>
    <w:rsid w:val="00724FD2"/>
    <w:rsid w:val="007251C0"/>
    <w:rsid w:val="0074015A"/>
    <w:rsid w:val="00744EA1"/>
    <w:rsid w:val="007504F6"/>
    <w:rsid w:val="00751128"/>
    <w:rsid w:val="00751765"/>
    <w:rsid w:val="0076379A"/>
    <w:rsid w:val="007845AD"/>
    <w:rsid w:val="00785824"/>
    <w:rsid w:val="00791BEB"/>
    <w:rsid w:val="007A45BE"/>
    <w:rsid w:val="007A4F42"/>
    <w:rsid w:val="007A6050"/>
    <w:rsid w:val="007A66A7"/>
    <w:rsid w:val="007A6EDF"/>
    <w:rsid w:val="007B7537"/>
    <w:rsid w:val="007C1323"/>
    <w:rsid w:val="007C44D0"/>
    <w:rsid w:val="007D0468"/>
    <w:rsid w:val="007D1151"/>
    <w:rsid w:val="007E618C"/>
    <w:rsid w:val="007F4087"/>
    <w:rsid w:val="008106FF"/>
    <w:rsid w:val="00815E4B"/>
    <w:rsid w:val="0082228B"/>
    <w:rsid w:val="0082230C"/>
    <w:rsid w:val="00824A83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358E4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31576"/>
    <w:rsid w:val="00B33CAA"/>
    <w:rsid w:val="00B37607"/>
    <w:rsid w:val="00B431AF"/>
    <w:rsid w:val="00B46735"/>
    <w:rsid w:val="00B60A94"/>
    <w:rsid w:val="00B71D9E"/>
    <w:rsid w:val="00B74C52"/>
    <w:rsid w:val="00B74C84"/>
    <w:rsid w:val="00B76776"/>
    <w:rsid w:val="00B7708C"/>
    <w:rsid w:val="00B86C63"/>
    <w:rsid w:val="00B92E2F"/>
    <w:rsid w:val="00B964DF"/>
    <w:rsid w:val="00BA59B1"/>
    <w:rsid w:val="00BE7A51"/>
    <w:rsid w:val="00BF4E3C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55EFF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3503"/>
    <w:rsid w:val="00E17B72"/>
    <w:rsid w:val="00E212BC"/>
    <w:rsid w:val="00E2387A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F00E44"/>
    <w:rsid w:val="00F03E7B"/>
    <w:rsid w:val="00F272DA"/>
    <w:rsid w:val="00F32EAD"/>
    <w:rsid w:val="00F40D2C"/>
    <w:rsid w:val="00F42D8C"/>
    <w:rsid w:val="00F4458B"/>
    <w:rsid w:val="00F570BC"/>
    <w:rsid w:val="00F5718A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AABA"/>
  <w15:chartTrackingRefBased/>
  <w15:docId w15:val="{6F52D50C-6271-4372-B0FB-CA5668A3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322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22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432253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4182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4182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41821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4A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1357</Words>
  <Characters>8554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Karsten Schubert</cp:lastModifiedBy>
  <cp:revision>2</cp:revision>
  <cp:lastPrinted>2023-03-13T15:23:00Z</cp:lastPrinted>
  <dcterms:created xsi:type="dcterms:W3CDTF">2023-03-13T15:48:00Z</dcterms:created>
  <dcterms:modified xsi:type="dcterms:W3CDTF">2023-03-13T15:48:00Z</dcterms:modified>
</cp:coreProperties>
</file>